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ContentType="application/vnd.openxmlformats-package.relationships+xml" PartName="/_rels/.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package.relationships+xml" PartName="/word/_rels/document.xml.rels"/>
  <Override ContentType="application/vnd.openxmlformats-package.relationships+xml" PartName="/word/_rels/header1.xml.rels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image/png" PartName="/word/media/image1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<Relationships xmlns="http://schemas.openxmlformats.org/package/2006/relationships"><Relationship Target="docProps/core.xml" Type="http://schemas.openxmlformats.org/package/2006/relationships/metadata/core-properties" Id="rId1"></Relationship><Relationship Target="docProps/app.xml" Type="http://schemas.openxmlformats.org/officeDocument/2006/relationships/extended-properties" Id="rId2"></Relationship><Relationship Target="docProps/custom.xml" Type="http://schemas.openxmlformats.org/officeDocument/2006/relationships/custom-properties" Id="rId3"></Relationship><Relationship Target="word/document.xml" Type="http://schemas.openxmlformats.org/officeDocument/2006/relationships/officeDocument" Id="rId4"></Relationship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body>
    <w:p>
      <w:pPr>
        <w:pStyle w:val="Body"/>
        <w:spacing w:before="0" w:after="0" w:line="240" w:lineRule="auto"/>
        <w:jc w:val="left"/>
        <w:rPr/>
      </w:pPr>
      <w:r>
        <w:rPr/>
      </w:r>
    </w:p>
    <w:tbl>
      <w:tblPr>
        <w:tblStyle w:val="TableGrid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1440"/>
        <w:gridCol w:w="2160"/>
        <w:gridCol w:w="4320"/>
        <w:gridCol w:w="2880"/>
        <w:gridCol w:w="1440"/>
        <w:gridCol w:w="2160"/>
      </w:tblGrid>
      <w:tr>
        <w:trPr>
          <w:tblHeader w:val="true"/>
          <w:cantSplit w:val="true"/>
        </w:trPr>
        <w:tc>
          <w:tcPr>
            <w:tcW w:w="1440" w:type="dxa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Bill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Sponsors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Description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Status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Position</w:t>
            </w:r>
          </w:p>
        </w:tc>
        <w:tc>
          <w:tcPr>
            <w:tcW w:type="right"/>
            <w:shd w:val="clear" w:color="auto" w:fill="bfbfbf"/>
          </w:tcPr>
          <w:p>
            <w:pPr>
              <w:jc w:val="left"/>
            </w:pPr>
            <w:r>
              <w:rPr>
                <w:b w:val="true"/>
                <w:sz w:val="22"/>
              </w:rPr>
              <w:t>Notes</w:t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7">
              <w:r>
                <w:rPr>
                  <w:rStyle w:val="Hyperlink"/>
                </w:rPr>
                <w:t xml:space="preserve">HB 4101</w:t>
              </w:r>
            </w:hyperlink>
          </w:p>
          <w:p>
            <w:r>
              <w:rPr>
                <w:sz w:val="24"/>
              </w:rPr>
              <w:t>2/15/23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VanderWall(R)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Speech-Language Pathologists</w:t>
            </w:r>
          </w:p>
          <w:p>
            <w:r>
              <w:rPr>
                <w:sz w:val="24"/>
              </w:rPr>
              <w:t>Modifies temporary licensing of speech-language pathologists.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Bill Ordered Enrolled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8">
              <w:r>
                <w:rPr>
                  <w:rStyle w:val="Hyperlink"/>
                </w:rPr>
                <w:t xml:space="preserve">HB 4121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Breen(D)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47'23 With Immediate Effect (6/28/23)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9">
              <w:r>
                <w:rPr>
                  <w:rStyle w:val="Hyperlink"/>
                </w:rPr>
                <w:t xml:space="preserve">HB 4122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Hope(D) - 28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Professionals</w:t>
            </w:r>
          </w:p>
          <w:p>
            <w:r>
              <w:rPr>
                <w:sz w:val="24"/>
              </w:rPr>
              <w:t>Provides permanent revocation of license or registration if convicted of sexual conduct under pretext of medical treatment.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48'23 With Immediate Effect (7/18/23)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0">
              <w:r>
                <w:rPr>
                  <w:rStyle w:val="Hyperlink"/>
                </w:rPr>
                <w:t xml:space="preserve">HB 4131</w:t>
              </w:r>
            </w:hyperlink>
          </w:p>
          <w:p>
            <w:r>
              <w:rPr>
                <w:sz w:val="24"/>
              </w:rPr>
              <w:t>2/22/23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- 13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Insurers</w:t>
            </w:r>
          </w:p>
          <w:p>
            <w:r>
              <w:rPr>
                <w:sz w:val="24"/>
              </w:rPr>
              <w:t>Modifies coverage for health care services provided through telemedicine.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Presented To The Governor 05/28/2024 11:06 Am (5/23/24)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1">
              <w:r>
                <w:rPr>
                  <w:rStyle w:val="Hyperlink"/>
                </w:rPr>
                <w:t xml:space="preserve">HB 4169 (HB 4170)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Rogers(D)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Enacts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2">
              <w:r>
                <w:rPr>
                  <w:rStyle w:val="Hyperlink"/>
                </w:rPr>
                <w:t xml:space="preserve">HB 4170 (HB 4169)</w:t>
              </w:r>
            </w:hyperlink>
          </w:p>
          <w:p>
            <w:r>
              <w:rPr>
                <w:sz w:val="24"/>
              </w:rPr>
              <w:t>3/2/23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- 34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Occupational Therapists</w:t>
            </w:r>
          </w:p>
          <w:p>
            <w:r>
              <w:rPr>
                <w:sz w:val="24"/>
              </w:rPr>
              <w:t>Modifies licensure process for occupational therapists to incorporate occupational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3">
              <w:r>
                <w:rPr>
                  <w:rStyle w:val="Hyperlink"/>
                </w:rPr>
                <w:t xml:space="preserve">HB 4213</w:t>
              </w:r>
            </w:hyperlink>
          </w:p>
          <w:p>
            <w:r>
              <w:rPr>
                <w:sz w:val="24"/>
              </w:rPr>
              <w:t>3/8/23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Morse(D) - 23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Telemedicine</w:t>
            </w:r>
          </w:p>
          <w:p>
            <w:r>
              <w:rPr>
                <w:sz w:val="24"/>
              </w:rPr>
              <w:t>Provides definition of distant site for a telemedicine visit.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Presented To The Governor 05/28/2024 11:00 Am (5/23/24)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4">
              <w:r>
                <w:rPr>
                  <w:rStyle w:val="Hyperlink"/>
                </w:rPr>
                <w:t xml:space="preserve">HB 4504 (HB 4505)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Fitzgerald(D) - 24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Enacts physical therapy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5">
              <w:r>
                <w:rPr>
                  <w:rStyle w:val="Hyperlink"/>
                </w:rPr>
                <w:t xml:space="preserve">HB 4505 (HB 4504)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Zorn(R) - 22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Physical Therapists</w:t>
            </w:r>
          </w:p>
          <w:p>
            <w:r>
              <w:rPr>
                <w:sz w:val="24"/>
              </w:rPr>
              <w:t>Modifies licensing process to incorporate physical therapy licensing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6">
              <w:r>
                <w:rPr>
                  <w:rStyle w:val="Hyperlink"/>
                </w:rPr>
                <w:t xml:space="preserve">HB 4514</w:t>
              </w:r>
            </w:hyperlink>
          </w:p>
          <w:p>
            <w:r>
              <w:rPr>
                <w:sz w:val="24"/>
              </w:rPr>
              <w:t>5/4/23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Markkanen(R) - 9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Art Therapists</w:t>
            </w:r>
          </w:p>
          <w:p>
            <w:r>
              <w:rPr>
                <w:sz w:val="24"/>
              </w:rPr>
              <w:t>Provides licensing of art therapists.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7">
              <w:r>
                <w:rPr>
                  <w:rStyle w:val="Hyperlink"/>
                </w:rPr>
                <w:t xml:space="preserve">HB 4550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Young(D) - 46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8">
              <w:r>
                <w:rPr>
                  <w:rStyle w:val="Hyperlink"/>
                </w:rPr>
                <w:t xml:space="preserve">HB 4551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Coffia(D)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19">
              <w:r>
                <w:rPr>
                  <w:rStyle w:val="Hyperlink"/>
                </w:rPr>
                <w:t xml:space="preserve">HB 4552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Rheingans(D) - 47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0">
              <w:r>
                <w:rPr>
                  <w:rStyle w:val="Hyperlink"/>
                </w:rPr>
                <w:t xml:space="preserve">HB 4579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Price(D)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Presented To The Governor 05/28/2024 11:08 Am (5/23/24)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1">
              <w:r>
                <w:rPr>
                  <w:rStyle w:val="Hyperlink"/>
                </w:rPr>
                <w:t xml:space="preserve">HB 4580</w:t>
              </w:r>
            </w:hyperlink>
          </w:p>
          <w:p>
            <w:r>
              <w:rPr>
                <w:sz w:val="24"/>
              </w:rPr>
              <w:t>5/16/23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- 27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Telehealth Visits</w:t>
            </w:r>
          </w:p>
          <w:p>
            <w:r>
              <w:rPr>
                <w:sz w:val="24"/>
              </w:rPr>
              <w:t>Requires reimbursement rate for telehealth visits to be the same as reimbursements for office visits.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Bill Ordered Enrolled (5/15/24)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2">
              <w:r>
                <w:rPr>
                  <w:rStyle w:val="Hyperlink"/>
                </w:rPr>
                <w:t xml:space="preserve">HB 4608</w:t>
              </w:r>
            </w:hyperlink>
          </w:p>
          <w:p>
            <w:r>
              <w:rPr>
                <w:sz w:val="24"/>
              </w:rPr>
              <w:t>5/23/23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Pohutsky(D)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Dietitian Nutritionists</w:t>
            </w:r>
          </w:p>
          <w:p>
            <w:r>
              <w:rPr>
                <w:sz w:val="24"/>
              </w:rPr>
              <w:t>Provides licensure of dietitian nutritionists.</w:t>
            </w:r>
          </w:p>
        </w:tc>
        <w:tc>
          <w:tcPr>
            <w:tcW w:w="2880" w:type="dxa"/>
            <w:shd w:val="clear" w:color="auto" w:fill="00ff00"/>
            <w:noWrap w:val="false"/>
          </w:tcPr>
          <w:p>
            <w:r>
              <w:rPr>
                <w:sz w:val="24"/>
              </w:rPr>
              <w:t>Assigned Pa 39'24 (4/30/24)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3">
              <w:r>
                <w:rPr>
                  <w:rStyle w:val="Hyperlink"/>
                </w:rPr>
                <w:t xml:space="preserve">HB 4687</w:t>
              </w:r>
            </w:hyperlink>
          </w:p>
          <w:p>
            <w:r>
              <w:rPr>
                <w:sz w:val="24"/>
              </w:rPr>
              <w:t>5/30/23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Wozniak(R) - 1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Requires choice of either an independent medical exam or a utilization review.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(5/30/23)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4">
              <w:r>
                <w:rPr>
                  <w:rStyle w:val="Hyperlink"/>
                </w:rPr>
                <w:t xml:space="preserve">HB 4935</w:t>
              </w:r>
            </w:hyperlink>
          </w:p>
          <w:p>
            <w:r>
              <w:rPr>
                <w:sz w:val="24"/>
              </w:rPr>
              <w:t>8/24/23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Green(R)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Enacts nurse licensure compact.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(8/24/23)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5">
              <w:r>
                <w:rPr>
                  <w:rStyle w:val="Hyperlink"/>
                </w:rPr>
                <w:t xml:space="preserve">HB 5184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Brabec(D)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6">
              <w:r>
                <w:rPr>
                  <w:rStyle w:val="Hyperlink"/>
                </w:rPr>
                <w:t xml:space="preserve">HB 5185</w:t>
              </w:r>
            </w:hyperlink>
          </w:p>
          <w:p>
            <w:r>
              <w:rPr>
                <w:sz w:val="24"/>
              </w:rPr>
              <w:t>10/19/23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Edwards(D) - 10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Social Workers</w:t>
            </w:r>
          </w:p>
          <w:p>
            <w:r>
              <w:rPr>
                <w:sz w:val="24"/>
              </w:rPr>
              <w:t>Modifies social work licensure requirements and includes licensure for licensed clinical social workers.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(10/19/23)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7">
              <w:r>
                <w:rPr>
                  <w:rStyle w:val="Hyperlink"/>
                </w:rPr>
                <w:t xml:space="preserve">HB 5416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Liberati(D) - 3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8">
              <w:r>
                <w:rPr>
                  <w:rStyle w:val="Hyperlink"/>
                </w:rPr>
                <w:t xml:space="preserve">HB 5417</w:t>
              </w:r>
            </w:hyperlink>
          </w:p>
          <w:p>
            <w:r>
              <w:rPr>
                <w:sz w:val="24"/>
              </w:rPr>
              <w:t>1/30/24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Filler(R)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Medical Assistants</w:t>
            </w:r>
          </w:p>
          <w:p>
            <w:r>
              <w:rPr>
                <w:sz w:val="24"/>
              </w:rPr>
              <w:t>Establishes licensure for medical assistants.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(1/30/24)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29">
              <w:r>
                <w:rPr>
                  <w:rStyle w:val="Hyperlink"/>
                </w:rPr>
                <w:t xml:space="preserve">HB 5521</w:t>
              </w:r>
            </w:hyperlink>
          </w:p>
          <w:p>
            <w:r>
              <w:rPr>
                <w:sz w:val="24"/>
              </w:rPr>
              <w:t>2/22/24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Wegela(D) - 15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Campaign Finance</w:t>
            </w:r>
          </w:p>
          <w:p>
            <w:r>
              <w:rPr>
                <w:sz w:val="24"/>
              </w:rPr>
              <w:t>Prohibits use of revenues as donation to a 501(c)(4) that engages in campaign or lobbying activities.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Government Operations (2/22/24)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0">
              <w:r>
                <w:rPr>
                  <w:rStyle w:val="Hyperlink"/>
                </w:rPr>
                <w:t xml:space="preserve">HB 5526</w:t>
              </w:r>
            </w:hyperlink>
          </w:p>
          <w:p>
            <w:r>
              <w:rPr>
                <w:sz w:val="24"/>
              </w:rPr>
              <w:t>2/28/24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Weiss(D)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Occupations - Practitioners</w:t>
            </w:r>
          </w:p>
          <w:p>
            <w:r>
              <w:rPr>
                <w:sz w:val="24"/>
              </w:rPr>
              <w:t>Prohibits refusal to provide services based on patient's refusal to allow provider to photocopy or scan driver license.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(2/28/24)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1">
              <w:r>
                <w:rPr>
                  <w:rStyle w:val="Hyperlink"/>
                </w:rPr>
                <w:t xml:space="preserve">SB 334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Santana(D)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Requires development of a staffing plan for nurses.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2">
              <w:r>
                <w:rPr>
                  <w:rStyle w:val="Hyperlink"/>
                </w:rPr>
                <w:t xml:space="preserve">SB 335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Chang(D) - 14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 - Nurses</w:t>
            </w:r>
          </w:p>
          <w:p>
            <w:r>
              <w:rPr>
                <w:sz w:val="24"/>
              </w:rPr>
              <w:t>Prohibits mandatory overtime for nurses except under certain circumstances.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3">
              <w:r>
                <w:rPr>
                  <w:rStyle w:val="Hyperlink"/>
                </w:rPr>
                <w:t xml:space="preserve">SB 336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Moss(D) - 17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Nurse-to-Patient Ratios</w:t>
            </w:r>
          </w:p>
          <w:p>
            <w:r>
              <w:rPr>
                <w:sz w:val="24"/>
              </w:rPr>
              <w:t>Requires hospitals to maintain record of direct care registered professional nurse-to-patient ratios for each unit for each shift.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Regulatory Affairs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4">
              <w:r>
                <w:rPr>
                  <w:rStyle w:val="Hyperlink"/>
                </w:rPr>
                <w:t xml:space="preserve">SB 530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Cavanagh(D)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limitations on treatment and services for injuries charges.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5">
              <w:r>
                <w:rPr>
                  <w:rStyle w:val="Hyperlink"/>
                </w:rPr>
                <w:t xml:space="preserve">SB 531</w:t>
              </w:r>
            </w:hyperlink>
          </w:p>
          <w:p>
            <w:r>
              <w:rPr>
                <w:sz w:val="24"/>
              </w:rPr>
              <w:t>9/26/23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 - 18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No-Fault Insurance</w:t>
            </w:r>
          </w:p>
          <w:p>
            <w:r>
              <w:rPr>
                <w:sz w:val="24"/>
              </w:rPr>
              <w:t>Revises cross-reference to amended section of the insurance code.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Insurance And Financial Services (10/24/23)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6">
              <w:r>
                <w:rPr>
                  <w:rStyle w:val="Hyperlink"/>
                </w:rPr>
                <w:t xml:space="preserve">SB 668</w:t>
              </w:r>
            </w:hyperlink>
          </w:p>
          <w:p>
            <w:r>
              <w:rPr>
                <w:sz w:val="24"/>
              </w:rPr>
              <w:t>11/9/23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Health occupations: physical therapists; prescription requirement for physical therapy treatment; eliminate, and make other modifications to the practice of physical therapy. Amends secs. 17801, 17820 &amp; 17824 of 1978 PA 368 (MCL 333.17801 et seq.) &amp; repeals sec. 17819 of 1978 PA 368 (MCL 333.17819).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Health Policy (11/9/23)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7">
              <w:r>
                <w:rPr>
                  <w:rStyle w:val="Hyperlink"/>
                </w:rPr>
                <w:t xml:space="preserve">SB 747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 Omnibus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8">
              <w:r>
                <w:rPr>
                  <w:rStyle w:val="Hyperlink"/>
                </w:rPr>
                <w:t xml:space="preserve">SB 749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Apprioprations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Placed On Second Reading (5/14/24)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39">
              <w:r>
                <w:rPr>
                  <w:rStyle w:val="Hyperlink"/>
                </w:rPr>
                <w:t xml:space="preserve">SB 750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Anthony(D)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0">
              <w:r>
                <w:rPr>
                  <w:rStyle w:val="Hyperlink"/>
                </w:rPr>
                <w:t xml:space="preserve">SB 754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2023-2024.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1">
              <w:r>
                <w:rPr>
                  <w:rStyle w:val="Hyperlink"/>
                </w:rPr>
                <w:t xml:space="preserve">SB 755</w:t>
              </w:r>
            </w:hyperlink>
          </w:p>
          <w:p>
            <w:r>
              <w:rPr>
                <w:sz w:val="24"/>
              </w:rPr>
              <w:t>3/7/24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McCann(D)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Departmental Appropriations</w:t>
            </w:r>
          </w:p>
          <w:p>
            <w:r>
              <w:rPr>
                <w:sz w:val="24"/>
              </w:rPr>
              <w:t>Provides appropriations for multiple departments and branches for fiscal year 2024-2025.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Referred To Committee On Appropriations (3/7/24)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  <w:tr>
        <w:trPr>
          <w:cantSplit w:val="true"/>
        </w:trPr>
        <w:tc>
          <w:tcPr>
            <w:tcW w:w="1440" w:type="dxa"/>
            <w:noWrap w:val="false"/>
          </w:tcPr>
          <w:p>
            <w:hyperlink r:id="rId42">
              <w:r>
                <w:rPr>
                  <w:rStyle w:val="Hyperlink"/>
                </w:rPr>
                <w:t xml:space="preserve">SR 50</w:t>
              </w:r>
            </w:hyperlink>
          </w:p>
          <w:p>
            <w:r>
              <w:rPr>
                <w:sz w:val="24"/>
              </w:rPr>
              <w:t>5/11/23</w:t>
            </w:r>
          </w:p>
        </w:tc>
        <w:tc>
          <w:tcPr>
            <w:tcW w:w="2160" w:type="dxa"/>
            <w:noWrap w:val="false"/>
          </w:tcPr>
          <w:p>
            <w:r>
              <w:rPr>
                <w:sz w:val="24"/>
              </w:rPr>
              <w:t>Hertel(D) - 2 cosponsors</w:t>
            </w:r>
          </w:p>
        </w:tc>
        <w:tc>
          <w:tcPr>
            <w:tcW w:w="4320" w:type="dxa"/>
            <w:noWrap w:val="false"/>
          </w:tcPr>
          <w:p>
            <w:r>
              <w:rPr>
                <w:sz w:val="24"/>
              </w:rPr>
              <w:t>A resolution to urge the Centers for Disease Control and Prevention to include new respiratory syncytial virus immunization technologies (including vaccines and monoclonal antibodies) within the federal Vaccines for Children Program.</w:t>
            </w:r>
          </w:p>
        </w:tc>
        <w:tc>
          <w:tcPr>
            <w:tcW w:w="2880" w:type="dxa"/>
            <w:noWrap w:val="false"/>
          </w:tcPr>
          <w:p>
            <w:r>
              <w:rPr>
                <w:sz w:val="24"/>
              </w:rPr>
              <w:t>Adopted (5/11/23)</w:t>
            </w:r>
          </w:p>
        </w:tc>
        <w:tc>
          <w:tcPr>
            <w:tcW w:w="1440" w:type="dxa"/>
            <w:noWrap w:val="false"/>
          </w:tcPr>
          <w:p>
            <w:r>
              <w:rPr>
                <w:sz w:val="24"/>
              </w:rPr>
              <w:t/>
            </w:r>
          </w:p>
        </w:tc>
        <w:tc>
          <w:tcPr>
            <w:tcW w:w="2160" w:type="dxa"/>
            <w:noWrap w:val="false"/>
          </w:tcPr>
          <w:p>
            <w:pPr>
              <w:spacing w:before="0" w:after="0"/>
            </w:pPr>
            <w:r>
              <w:t/>
            </w:r>
          </w:p>
        </w:tc>
      </w:tr>
    </w:tbl>
    <w:p>
      <w:r>
        <w:rPr>
          <w:sz w:val="20"/>
        </w:rPr>
        <w:t/>
      </w:r>
    </w:p>
    <w:sectPr>
      <w:headerReference w:type="default" r:id="rId2"/>
      <w:footerReference w:type="default" r:id="rId3"/>
      <w:type w:val="nextPage"/>
      <w:pgSz w:w="15840" w:h="12240" w:orient="landscape"/>
      <w:pgMar w:top="1266" w:right="720" w:bottom="720" w:left="720" w:header="432" w:footer="288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alibri">
    <w:charset w:val="01"/>
    <w:family w:val="roman"/>
    <w:pitch w:val="variable"/>
  </w:font>
  <w:font w:name="Gill Sans MT">
    <w:charset w:val="01"/>
    <w:family w:val="roman"/>
    <w:pitch w:val="variable"/>
  </w:font>
  <w:font w:name="Cambria">
    <w:charset w:val="01"/>
    <w:family w:val="roman"/>
    <w:pitch w:val="variable"/>
  </w:font>
</w:fonts>
</file>

<file path=word/footer1.xml><?xml version="1.0" encoding="utf-8"?>
<w:ft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Footer"/>
      <w:spacing w:before="0" w:after="120"/>
      <w:jc w:val="center"/>
      <w:rPr/>
    </w:pPr>
    <w:r>
      <w:rPr>
        <w:rFonts w:ascii="Cambria" w:hAnsi="Cambria"/>
        <w:lang w:val="en-US"/>
      </w:rPr>
      <w:t xml:space="preserve">PAGE </w:t>
    </w: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ascii="Cambria" w:hAnsi="Cambria"/>
        <w:sz w:val="18"/>
        <w:szCs w:val="18"/>
        <w:lang w:val="en-US"/>
      </w:rPr>
      <w:t xml:space="preserve"> </w:t>
    </w:r>
  </w:p>
</w:ftr>
</file>

<file path=word/header1.xml><?xml version="1.0" encoding="utf-8"?>
<w:hdr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p>
    <w:pPr>
      <w:pStyle w:val="Body"/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0" w:afterAutospacing="false" w:line="240" w:lineRule="auto"/>
      <w:ind w:left="-629" w:right="0" w:hanging="0"/>
      <w:jc w:val="right"/>
      <w:rPr/>
    </w:pPr>
    <w:r>
      <w:drawing>
        <wp:anchor distT="0" distB="0" distL="0" distR="0" simplePos="false" relativeHeight="2" behindDoc="true" locked="false" layoutInCell="false" allowOverlap="true">
          <wp:simplePos x="0" y="0"/>
          <wp:positionH relativeFrom="column">
            <wp:posOffset>4445</wp:posOffset>
          </wp:positionH>
          <wp:positionV relativeFrom="paragraph">
            <wp:posOffset>-201295</wp:posOffset>
          </wp:positionV>
          <wp:extent cx="1911350" cy="634365"/>
          <wp:effectExtent l="0" t="0" r="0" b="0"/>
          <wp:wrapSquare wrapText="largest"/>
          <wp:docPr id="1" name="Image1" descr="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1" name="Image1" descr="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11350" cy="634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ill Sans MT" w:hAnsi="Gill Sans MT" w:eastAsia="Gill Sans MT" w:cs="Gill Sans MT"/>
        <w:outline w:val="false"/>
        <w:color w:val="1B255B"/>
        <w:sz w:val="48"/>
        <w:szCs w:val="48"/>
        <w:u w:val="none" w:color="1B255B"/>
        <w:lang w:val="de-DE"/>
      </w:rPr>
      <w:t>Michigan Occupational Therapy Association Update (5/31/24)</w:t>
    </w:r>
  </w:p>
</w:hdr>
</file>

<file path=word/settings.xml><?xml version="1.0" encoding="utf-8"?>
<w:setting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zoom w:percent="5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>
  <w:docDefaults>
    <w:rPrDefault>
      <w:rPr>
        <w:rFonts w:ascii="Times New Roman" w:hAnsi="Times New Roman" w:eastAsia="Arial Unicode MS" w:cs="Times New Roman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 w:default="true">
    <w:name w:val="Normal"/>
    <w:qFormat/>
    <w:pPr>
      <w:keepNext w:val="false"/>
      <w:keepLines w:val="false"/>
      <w:pageBreakBefore w:val="false"/>
      <w:widowControl/>
      <w:shd w:val="clear" w:color="auto" w:fill="auto"/>
      <w:suppressAutoHyphens w:val="fals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Gill Sans MT" w:hAnsi="Times New Roman" w:eastAsia="Arial Unicode MS" w:cs="Times New Roman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auto"/>
      <w:spacing w:val="0"/>
      <w:w w:val="100"/>
      <w:kern w:val="0"/>
      <w:position w:val="0"/>
      <w:sz w:val="24"/>
      <w:szCs w:val="24"/>
      <w:u w:val="none" w:color="FFFFFF"/>
      <w:vertAlign w:val="baseline"/>
      <w:lang w:val="en-US" w:eastAsia="en-US" w:bidi="ar-SA"/>
    </w:rPr>
  </w:style>
  <w:style w:type="character" w:styleId="DefaultParagraphFont" w:default="true">
    <w:name w:val="Default Paragraph Font"/>
    <w:qFormat/>
    <w:rPr/>
  </w:style>
  <w:style w:type="character" w:styleId="InternetLink">
    <w:name w:val="Hyperlink"/>
    <w:rPr>
      <w:rFonts w:ascii="Gill Sans MT"/>
      <w:b w:val="true"/>
      <w:color w:val="0000FF"/>
      <w:sz w:val="22"/>
      <w:u w:val="single" w:color="0000FF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PingFang SC" w:cs="Arial Unicode MS"/>
      <w:sz w:val="28"/>
      <w:szCs w:val="28"/>
    </w:rPr>
  </w:style>
  <w:style w:type="paragraph" w:styleId="TextBody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TextBody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 Unicode MS"/>
      <w:lang w:val="zxx" w:eastAsia="zxx" w:bidi="zxx"/>
    </w:rPr>
  </w:style>
  <w:style w:type="paragraph" w:styleId="Body">
    <w:name w:val="Body"/>
    <w:qFormat/>
    <w:pPr>
      <w:keepNext w:val="false"/>
      <w:keepLines w:val="false"/>
      <w:pageBreakBefore w:val="false"/>
      <w:widowControl/>
      <w:shd w:val="clear" w:color="auto" w:fill="auto"/>
      <w:suppressAutoHyphens w:val="true"/>
      <w:bidi w:val="false"/>
      <w:spacing w:before="0" w:beforeAutospacing="false" w:after="120" w:afterAutospacing="false" w:line="276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de-DE" w:eastAsia="zh-CN" w:bidi="hi-IN"/>
    </w:rPr>
  </w:style>
  <w:style w:type="paragraph" w:styleId="HeaderandFooter">
    <w:name w:val="Header and Footer"/>
    <w:basedOn w:val="Normal"/>
    <w:qFormat/>
    <w:pPr/>
    <w:rPr/>
  </w:style>
  <w:style w:type="paragraph" w:styleId="Footer">
    <w:name w:val="Footer"/>
    <w:pPr>
      <w:keepNext w:val="false"/>
      <w:keepLines w:val="false"/>
      <w:pageBreakBefore w:val="false"/>
      <w:widowControl/>
      <w:shd w:val="clear" w:color="auto" w:fill="auto"/>
      <w:tabs>
        <w:tab w:val="clear" w:pos="720"/>
        <w:tab w:val="center" w:leader="none" w:pos="4680"/>
        <w:tab w:val="right" w:leader="none" w:pos="9360"/>
      </w:tabs>
      <w:suppressAutoHyphens w:val="true"/>
      <w:bidi w:val="false"/>
      <w:spacing w:before="0" w:beforeAutospacing="false" w:after="0" w:afterAutospacing="false" w:line="240" w:lineRule="auto"/>
      <w:ind w:left="0" w:right="0" w:hanging="0"/>
      <w:jc w:val="left"/>
    </w:pPr>
    <w:rPr>
      <w:rFonts w:ascii="Calibri" w:hAnsi="Calibri" w:eastAsia="Arial Unicode MS" w:cs="Arial Unicode MS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vanish w:val="false"/>
      <w:color w:val="00000A"/>
      <w:spacing w:val="0"/>
      <w:w w:val="100"/>
      <w:kern w:val="0"/>
      <w:position w:val="0"/>
      <w:sz w:val="22"/>
      <w:szCs w:val="22"/>
      <w:u w:val="none" w:color="00000A"/>
      <w:shd w:val="clear" w:fill="auto"/>
      <w:vertAlign w:val="baseline"/>
      <w:lang w:val="en-US" w:eastAsia="zh-CN" w:bidi="hi-IN"/>
    </w:rPr>
  </w:style>
  <w:style w:type="paragraph" w:styleId="Header">
    <w:name w:val="Header"/>
    <w:basedOn w:val="HeaderandFooter"/>
    <w:pPr/>
    <w:rPr/>
  </w:style>
  <w:style w:type="numbering" w:styleId="NoList" w:default="true">
    <w:name w:val="No List"/>
    <w:qFormat/>
  </w:style>
  <w:style w:type="table" w:styleId="Table Normal" w:default="true">
    <w:name w:val="Table Normal"/>
    <w:tblStylePr w:type="firstRow">
      <w:tblPr/>
    </w:tblStylePr>
    <w:tblStylePr w:type="lastRow">
      <w:tblPr/>
    </w:tblStylePr>
    <w:tblStylePr w:type="firstCol">
      <w:tblPr/>
    </w:tblStylePr>
    <w:tblStylePr w:type="lastCol">
      <w:tblPr/>
    </w:tblStylePr>
    <w:tblStylePr w:type="band1Vert">
      <w:tblPr/>
    </w:tblStylePr>
    <w:tblStylePr w:type="band2Vert">
      <w:tblPr/>
    </w:tblStylePr>
    <w:tblStylePr w:type="band1Horz">
      <w:tblPr/>
    </w:tblStylePr>
    <w:tblStylePr w:type="band2Horz">
      <w:tblPr/>
    </w:tblStylePr>
    <w:tblStylePr w:type="neCell">
      <w:tblPr/>
    </w:tblStylePr>
    <w:tblStylePr w:type="nwCell">
      <w:tblPr/>
    </w:tblStylePr>
    <w:tblStylePr w:type="seCell">
      <w:tblPr/>
    </w:tblStylePr>
    <w:tblStylePr w:type="swCell">
      <w:tblPr/>
    </w:tblStyle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></Relationship><Relationship Target="header1.xml" Type="http://schemas.openxmlformats.org/officeDocument/2006/relationships/header" Id="rId2"></Relationship><Relationship Target="footer1.xml" Type="http://schemas.openxmlformats.org/officeDocument/2006/relationships/footer" Id="rId3"></Relationship><Relationship Target="fontTable.xml" Type="http://schemas.openxmlformats.org/officeDocument/2006/relationships/fontTable" Id="rId4"></Relationship><Relationship Target="settings.xml" Type="http://schemas.openxmlformats.org/officeDocument/2006/relationships/settings" Id="rId5"></Relationship><Relationship Target="theme/theme1.xml" Type="http://schemas.openxmlformats.org/officeDocument/2006/relationships/theme" Id="rId6"></Relationship><Relationship TargetMode="External" Target="https://legislature.mi.gov/Bills/Bill?ObjectName=2023-HB-4101" Type="http://schemas.openxmlformats.org/officeDocument/2006/relationships/hyperlink" Id="rId7"/><Relationship TargetMode="External" Target="https://legislature.mi.gov/Bills/Bill?ObjectName=2023-HB-4121" Type="http://schemas.openxmlformats.org/officeDocument/2006/relationships/hyperlink" Id="rId8"/><Relationship TargetMode="External" Target="https://legislature.mi.gov/Bills/Bill?ObjectName=2023-HB-4122" Type="http://schemas.openxmlformats.org/officeDocument/2006/relationships/hyperlink" Id="rId9"/><Relationship TargetMode="External" Target="https://legislature.mi.gov/Bills/Bill?ObjectName=2023-HB-4131" Type="http://schemas.openxmlformats.org/officeDocument/2006/relationships/hyperlink" Id="rId10"/><Relationship TargetMode="External" Target="https://legislature.mi.gov/Bills/Bill?ObjectName=2023-HB-4169" Type="http://schemas.openxmlformats.org/officeDocument/2006/relationships/hyperlink" Id="rId11"/><Relationship TargetMode="External" Target="https://legislature.mi.gov/Bills/Bill?ObjectName=2023-HB-4170" Type="http://schemas.openxmlformats.org/officeDocument/2006/relationships/hyperlink" Id="rId12"/><Relationship TargetMode="External" Target="https://legislature.mi.gov/Bills/Bill?ObjectName=2023-HB-4213" Type="http://schemas.openxmlformats.org/officeDocument/2006/relationships/hyperlink" Id="rId13"/><Relationship TargetMode="External" Target="https://legislature.mi.gov/Bills/Bill?ObjectName=2023-HB-4504" Type="http://schemas.openxmlformats.org/officeDocument/2006/relationships/hyperlink" Id="rId14"/><Relationship TargetMode="External" Target="https://legislature.mi.gov/Bills/Bill?ObjectName=2023-HB-4505" Type="http://schemas.openxmlformats.org/officeDocument/2006/relationships/hyperlink" Id="rId15"/><Relationship TargetMode="External" Target="https://legislature.mi.gov/Bills/Bill?ObjectName=2023-HB-4514" Type="http://schemas.openxmlformats.org/officeDocument/2006/relationships/hyperlink" Id="rId16"/><Relationship TargetMode="External" Target="https://legislature.mi.gov/Bills/Bill?ObjectName=2023-HB-4550" Type="http://schemas.openxmlformats.org/officeDocument/2006/relationships/hyperlink" Id="rId17"/><Relationship TargetMode="External" Target="https://legislature.mi.gov/Bills/Bill?ObjectName=2023-HB-4551" Type="http://schemas.openxmlformats.org/officeDocument/2006/relationships/hyperlink" Id="rId18"/><Relationship TargetMode="External" Target="https://legislature.mi.gov/Bills/Bill?ObjectName=2023-HB-4552" Type="http://schemas.openxmlformats.org/officeDocument/2006/relationships/hyperlink" Id="rId19"/><Relationship TargetMode="External" Target="https://legislature.mi.gov/Bills/Bill?ObjectName=2023-HB-4579" Type="http://schemas.openxmlformats.org/officeDocument/2006/relationships/hyperlink" Id="rId20"/><Relationship TargetMode="External" Target="https://legislature.mi.gov/Bills/Bill?ObjectName=2023-HB-4580" Type="http://schemas.openxmlformats.org/officeDocument/2006/relationships/hyperlink" Id="rId21"/><Relationship TargetMode="External" Target="https://legislature.mi.gov/Bills/Bill?ObjectName=2023-HB-4608" Type="http://schemas.openxmlformats.org/officeDocument/2006/relationships/hyperlink" Id="rId22"/><Relationship TargetMode="External" Target="https://legislature.mi.gov/Bills/Bill?ObjectName=2023-HB-4687" Type="http://schemas.openxmlformats.org/officeDocument/2006/relationships/hyperlink" Id="rId23"/><Relationship TargetMode="External" Target="https://legislature.mi.gov/Bills/Bill?ObjectName=2023-HB-4935" Type="http://schemas.openxmlformats.org/officeDocument/2006/relationships/hyperlink" Id="rId24"/><Relationship TargetMode="External" Target="https://legislature.mi.gov/Bills/Bill?ObjectName=2023-HB-5184" Type="http://schemas.openxmlformats.org/officeDocument/2006/relationships/hyperlink" Id="rId25"/><Relationship TargetMode="External" Target="https://legislature.mi.gov/Bills/Bill?ObjectName=2023-HB-5185" Type="http://schemas.openxmlformats.org/officeDocument/2006/relationships/hyperlink" Id="rId26"/><Relationship TargetMode="External" Target="https://legislature.mi.gov/Bills/Bill?ObjectName=2024-HB-5416" Type="http://schemas.openxmlformats.org/officeDocument/2006/relationships/hyperlink" Id="rId27"/><Relationship TargetMode="External" Target="https://legislature.mi.gov/Bills/Bill?ObjectName=2024-HB-5417" Type="http://schemas.openxmlformats.org/officeDocument/2006/relationships/hyperlink" Id="rId28"/><Relationship TargetMode="External" Target="https://legislature.mi.gov/Bills/Bill?ObjectName=2024-HB-5521" Type="http://schemas.openxmlformats.org/officeDocument/2006/relationships/hyperlink" Id="rId29"/><Relationship TargetMode="External" Target="https://legislature.mi.gov/Bills/Bill?ObjectName=2024-HB-5526" Type="http://schemas.openxmlformats.org/officeDocument/2006/relationships/hyperlink" Id="rId30"/><Relationship TargetMode="External" Target="https://legislature.mi.gov/Bills/Bill?ObjectName=2023-SB-0334" Type="http://schemas.openxmlformats.org/officeDocument/2006/relationships/hyperlink" Id="rId31"/><Relationship TargetMode="External" Target="https://legislature.mi.gov/Bills/Bill?ObjectName=2023-SB-0335" Type="http://schemas.openxmlformats.org/officeDocument/2006/relationships/hyperlink" Id="rId32"/><Relationship TargetMode="External" Target="https://legislature.mi.gov/Bills/Bill?ObjectName=2023-SB-0336" Type="http://schemas.openxmlformats.org/officeDocument/2006/relationships/hyperlink" Id="rId33"/><Relationship TargetMode="External" Target="https://legislature.mi.gov/Bills/Bill?ObjectName=2023-SB-0530" Type="http://schemas.openxmlformats.org/officeDocument/2006/relationships/hyperlink" Id="rId34"/><Relationship TargetMode="External" Target="https://legislature.mi.gov/Bills/Bill?ObjectName=2023-SB-0531" Type="http://schemas.openxmlformats.org/officeDocument/2006/relationships/hyperlink" Id="rId35"/><Relationship TargetMode="External" Target="https://legislature.mi.gov/Bills/Bill?ObjectName=2023-SB-0668" Type="http://schemas.openxmlformats.org/officeDocument/2006/relationships/hyperlink" Id="rId36"/><Relationship TargetMode="External" Target="https://legislature.mi.gov/Bills/Bill?ObjectName=2024-SB-0747" Type="http://schemas.openxmlformats.org/officeDocument/2006/relationships/hyperlink" Id="rId37"/><Relationship TargetMode="External" Target="https://legislature.mi.gov/Bills/Bill?ObjectName=2024-SB-0749" Type="http://schemas.openxmlformats.org/officeDocument/2006/relationships/hyperlink" Id="rId38"/><Relationship TargetMode="External" Target="https://legislature.mi.gov/Bills/Bill?ObjectName=2024-SB-0750" Type="http://schemas.openxmlformats.org/officeDocument/2006/relationships/hyperlink" Id="rId39"/><Relationship TargetMode="External" Target="https://legislature.mi.gov/Bills/Bill?ObjectName=2024-SB-0754" Type="http://schemas.openxmlformats.org/officeDocument/2006/relationships/hyperlink" Id="rId40"/><Relationship TargetMode="External" Target="https://legislature.mi.gov/Bills/Bill?ObjectName=2024-SB-0755" Type="http://schemas.openxmlformats.org/officeDocument/2006/relationships/hyperlink" Id="rId41"/><Relationship TargetMode="External" Target="https://legislature.mi.gov/Bills/Bill?ObjectName=2023-SR-0050" Type="http://schemas.openxmlformats.org/officeDocument/2006/relationships/hyperlink" Id="rId42"/></Relationships>
</file>

<file path=word/_rels/header1.xml.rels><?xml version="1.0" encoding="UTF-8" standalone="yes"?><Relationships xmlns="http://schemas.openxmlformats.org/package/2006/relationships"><Relationship Target="media/image1.png" Type="http://schemas.openxmlformats.org/officeDocument/2006/relationships/image" Id="rId1"></Relationship></Relationships>
</file>

<file path=word/theme/theme1.xml><?xml version="1.0" encoding="utf-8"?>
<a:theme xmlns:w="http://schemas.openxmlformats.org/wordprocessingml/2006/main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ns6="http://schemas.openxmlformats.org/schemaLibrary/2006/main" xmlns:c="http://schemas.openxmlformats.org/drawingml/2006/chart" xmlns:ns8="http://schemas.openxmlformats.org/drawingml/2006/chartDrawing" xmlns:dgm="http://schemas.openxmlformats.org/drawingml/2006/diagram" xmlns:pic="http://schemas.openxmlformats.org/drawingml/2006/picture" xmlns:ns11="http://schemas.openxmlformats.org/drawingml/2006/spreadsheetDrawing" xmlns:dsp="http://schemas.microsoft.com/office/drawing/2008/diagram" xmlns:ns13="urn:schemas-microsoft-com:office:excel" xmlns:o="urn:schemas-microsoft-com:office:office" xmlns:v="urn:schemas-microsoft-com:vml" xmlns:w10="urn:schemas-microsoft-com:office:word" xmlns:ns17="urn:schemas-microsoft-com:office:powerpoint" xmlns:odx="http://opendope.org/xpaths" xmlns:odc="http://opendope.org/conditions" xmlns:odq="http://opendope.org/questions" xmlns:odi="http://opendope.org/components" xmlns:odgm="http://opendope.org/SmartArt/DataHierarchy" xmlns:ns24="http://schemas.openxmlformats.org/officeDocument/2006/bibliography" xmlns:ns25="http://schemas.openxmlformats.org/drawingml/2006/compatibility" xmlns:ns26="http://schemas.openxmlformats.org/drawingml/2006/lockedCanva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sx="100000" sy="100000" kx="0" ky="0" algn="b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sx="100000" sy="100000" kx="0" ky="0" algn="b" rotWithShape="false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sx="100000" sy="100000" kx="0" ky="0" algn="b" rotWithShape="false">
            <a:srgbClr val="000000">
              <a:alpha val="35000"/>
            </a:srgbClr>
          </a:outerShdw>
        </a:effectLst>
        <a:sp3d/>
      </a:spPr>
      <a:bodyPr rot="0" spcFirstLastPara="true" vertOverflow="overflow" horzOverflow="overflow" vert="horz" wrap="square" lIns="45719" tIns="45719" rIns="45719" bIns="45719" numCol="1" spcCol="38100" rtlCol="false" anchor="ctr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sx="100000" sy="100000" kx="0" ky="0" algn="b" rotWithShape="false">
            <a:srgbClr val="000000">
              <a:alpha val="38000"/>
            </a:srgbClr>
          </a:outerShdw>
        </a:effectLst>
        <a:sp3d/>
      </a:spPr>
      <a:bodyPr rot="0" spcFirstLastPara="true" vertOverflow="overflow" horzOverflow="overflow" vert="horz" wrap="square" lIns="91439" tIns="45719" rIns="91439" bIns="45719" numCol="1" spcCol="38100" rtlCol="false" anchor="t" upright="false">
        <a:noAutofit/>
      </a:bodyPr>
      <a:lstStyle>
        <a:def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true" vertOverflow="overflow" horzOverflow="overflow" vert="horz" wrap="square" lIns="45719" tIns="45719" rIns="45719" bIns="45719" numCol="1" spcCol="38100" rtlCol="false" anchor="t" upright="false">
        <a:spAutoFit/>
      </a:bodyPr>
      <a:lstStyle>
        <a:defPPr marL="0" marR="0" indent="0" algn="l" defTabSz="914400" rtl="false" fontAlgn="auto" latinLnBrk="fals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false" fontAlgn="auto" latinLnBrk="true" hangingPunct="false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false" sz="1800" b="false" i="false" u="none" strike="noStrike" cap="none" spc="0" normalizeH="false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/>
  <properties:Pages>1</properties:Pages>
  <properties:Words>3</properties:Words>
  <properties:Characters>11</properties:Characters>
  <properties:Paragraphs>2</properties:Paragraphs>
  <properties:TotalTime>1352</properties:TotalTime>
  <properties:CharactersWithSpaces>13</properties:CharactersWithSpaces>
  <properties:Application>docx4j</properties:Application>
  <properties:AppVersion>2.7</properties:AppVersion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:creator/>
  <dc:description/>
  <dc:language>en-US</dc:language>
  <cp:lastModifiedBy>docx4j</cp:lastModifiedBy>
  <dcterms:modified xmlns:xsi="http://www.w3.org/2001/XMLSchema-instance" xsi:type="dcterms:W3CDTF">2023-02-15T05:07:42Z</dcterms:modified>
  <cp:revision>10</cp:revision>
  <dc:subject/>
  <dc:title/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/>
</file>