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Laid Over One Day Under The Rules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Laid Over One Day Under The Rules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Laid Over One Day Under The Rules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shd w:val="clear" w:color="auto" w:fill="FAFAD2"/>
            <w:noWrap w:val="false"/>
          </w:tcPr>
          <w:p>
            <w:r>
              <w:rPr>
                <w:sz w:val="24"/>
              </w:rPr>
              <w:t>Read A First Time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(5/17/24)</w:t>
    </w:r>
  </w:p>
</w:hdr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