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0" w:type="auto"/>
        <w:tblLook w:val="04A0" w:firstRow="1" w:lastRow="0" w:firstColumn="1" w:lastColumn="0" w:noHBand="0" w:noVBand="1"/>
      </w:tblPr>
      <w:tblGrid>
        <w:gridCol w:w="2076"/>
        <w:gridCol w:w="8714"/>
      </w:tblGrid>
      <w:tr w:rsidR="00C537E1" w:rsidTr="00C537E1">
        <w:trPr>
          <w:trHeight w:val="1520"/>
        </w:trPr>
        <w:tc>
          <w:tcPr>
            <w:tcW w:w="2088" w:type="dxa"/>
          </w:tcPr>
          <w:p w:rsidR="00C537E1" w:rsidRDefault="00C537E1" w:rsidP="00C537E1">
            <w:pPr>
              <w:keepNext/>
              <w:keepLines/>
              <w:spacing w:before="40" w:line="240" w:lineRule="auto"/>
              <w:jc w:val="center"/>
              <w:outlineLvl w:val="2"/>
              <w:rPr>
                <w:rFonts w:asciiTheme="minorHAnsi" w:hAnsiTheme="minorHAnsi"/>
                <w:noProof/>
                <w:sz w:val="22"/>
              </w:rPr>
            </w:pPr>
          </w:p>
          <w:p w:rsidR="00C537E1" w:rsidRDefault="00C537E1" w:rsidP="00C537E1">
            <w:pPr>
              <w:keepNext/>
              <w:keepLines/>
              <w:spacing w:before="40" w:line="240" w:lineRule="auto"/>
              <w:jc w:val="center"/>
              <w:outlineLvl w:val="2"/>
              <w:rPr>
                <w:rFonts w:asciiTheme="minorHAnsi" w:hAnsiTheme="minorHAnsi"/>
                <w:sz w:val="22"/>
                <w:lang w:val="en"/>
              </w:rPr>
            </w:pPr>
            <w:r>
              <w:rPr>
                <w:rFonts w:asciiTheme="minorHAnsi" w:hAnsiTheme="minorHAnsi"/>
                <w:noProof/>
                <w:sz w:val="22"/>
              </w:rPr>
              <w:drawing>
                <wp:inline distT="0" distB="0" distL="0" distR="0" wp14:anchorId="7CD66312" wp14:editId="47A3B6A1">
                  <wp:extent cx="93345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MiOT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tc>
        <w:tc>
          <w:tcPr>
            <w:tcW w:w="8928" w:type="dxa"/>
          </w:tcPr>
          <w:p w:rsidR="00C537E1" w:rsidRDefault="00C537E1" w:rsidP="00C537E1">
            <w:pPr>
              <w:pStyle w:val="NoSpacing"/>
              <w:jc w:val="center"/>
              <w:rPr>
                <w:rFonts w:asciiTheme="minorHAnsi" w:hAnsiTheme="minorHAnsi"/>
              </w:rPr>
            </w:pPr>
          </w:p>
          <w:p w:rsidR="00C537E1" w:rsidRPr="00C537E1" w:rsidRDefault="00C537E1" w:rsidP="00C537E1">
            <w:pPr>
              <w:pStyle w:val="NoSpacing"/>
              <w:jc w:val="center"/>
              <w:rPr>
                <w:rFonts w:asciiTheme="minorHAnsi" w:hAnsiTheme="minorHAnsi"/>
                <w:b/>
              </w:rPr>
            </w:pPr>
            <w:r w:rsidRPr="00C537E1">
              <w:rPr>
                <w:rFonts w:asciiTheme="minorHAnsi" w:hAnsiTheme="minorHAnsi"/>
                <w:b/>
              </w:rPr>
              <w:t>Michigan Occupational Therapy Association</w:t>
            </w:r>
            <w:r w:rsidR="000B612A">
              <w:rPr>
                <w:rFonts w:asciiTheme="minorHAnsi" w:hAnsiTheme="minorHAnsi"/>
                <w:b/>
              </w:rPr>
              <w:t xml:space="preserve"> (MiOTA)</w:t>
            </w:r>
          </w:p>
          <w:p w:rsidR="00C537E1" w:rsidRPr="00C537E1" w:rsidRDefault="00C537E1" w:rsidP="00C537E1">
            <w:pPr>
              <w:pStyle w:val="NoSpacing"/>
              <w:jc w:val="center"/>
              <w:rPr>
                <w:rFonts w:asciiTheme="minorHAnsi" w:hAnsiTheme="minorHAnsi"/>
              </w:rPr>
            </w:pPr>
            <w:r w:rsidRPr="00C537E1">
              <w:rPr>
                <w:rFonts w:asciiTheme="minorHAnsi" w:hAnsiTheme="minorHAnsi"/>
              </w:rPr>
              <w:t>124 West Allegan, Suite 1900</w:t>
            </w:r>
          </w:p>
          <w:p w:rsidR="00C537E1" w:rsidRPr="00C537E1" w:rsidRDefault="00C537E1" w:rsidP="00C537E1">
            <w:pPr>
              <w:pStyle w:val="NoSpacing"/>
              <w:jc w:val="center"/>
              <w:rPr>
                <w:rFonts w:asciiTheme="minorHAnsi" w:hAnsiTheme="minorHAnsi"/>
              </w:rPr>
            </w:pPr>
            <w:r w:rsidRPr="00C537E1">
              <w:rPr>
                <w:rFonts w:asciiTheme="minorHAnsi" w:hAnsiTheme="minorHAnsi"/>
              </w:rPr>
              <w:t>Lansing, MI 48933</w:t>
            </w:r>
          </w:p>
          <w:p w:rsidR="00C537E1" w:rsidRPr="00C537E1" w:rsidRDefault="00C537E1" w:rsidP="00C537E1">
            <w:pPr>
              <w:pStyle w:val="NoSpacing"/>
              <w:jc w:val="center"/>
              <w:rPr>
                <w:rFonts w:asciiTheme="minorHAnsi" w:hAnsiTheme="minorHAnsi"/>
              </w:rPr>
            </w:pPr>
            <w:r w:rsidRPr="00C537E1">
              <w:rPr>
                <w:rFonts w:asciiTheme="minorHAnsi" w:hAnsiTheme="minorHAnsi"/>
              </w:rPr>
              <w:t>P. 517-267-3918 F. 517.484-4442</w:t>
            </w:r>
          </w:p>
          <w:p w:rsidR="00C537E1" w:rsidRPr="00C537E1" w:rsidRDefault="00C537E1" w:rsidP="00C537E1">
            <w:pPr>
              <w:pStyle w:val="NoSpacing"/>
              <w:jc w:val="center"/>
              <w:rPr>
                <w:rFonts w:asciiTheme="minorHAnsi" w:hAnsiTheme="minorHAnsi"/>
              </w:rPr>
            </w:pPr>
            <w:r w:rsidRPr="00C537E1">
              <w:rPr>
                <w:rFonts w:asciiTheme="minorHAnsi" w:hAnsiTheme="minorHAnsi"/>
              </w:rPr>
              <w:t xml:space="preserve">Email: </w:t>
            </w:r>
            <w:hyperlink r:id="rId8" w:history="1">
              <w:r w:rsidRPr="00C537E1">
                <w:rPr>
                  <w:rStyle w:val="Hyperlink"/>
                  <w:rFonts w:asciiTheme="minorHAnsi" w:hAnsiTheme="minorHAnsi"/>
                </w:rPr>
                <w:t>office@miota.org</w:t>
              </w:r>
            </w:hyperlink>
          </w:p>
          <w:p w:rsidR="00C537E1" w:rsidRDefault="00C537E1" w:rsidP="009E333F">
            <w:pPr>
              <w:keepNext/>
              <w:keepLines/>
              <w:spacing w:before="40" w:line="240" w:lineRule="auto"/>
              <w:outlineLvl w:val="2"/>
              <w:rPr>
                <w:rFonts w:asciiTheme="minorHAnsi" w:hAnsiTheme="minorHAnsi"/>
                <w:sz w:val="22"/>
                <w:lang w:val="en"/>
              </w:rPr>
            </w:pPr>
          </w:p>
        </w:tc>
      </w:tr>
    </w:tbl>
    <w:p w:rsidR="00C537E1" w:rsidRDefault="00C537E1" w:rsidP="009E333F">
      <w:pPr>
        <w:keepNext/>
        <w:keepLines/>
        <w:spacing w:before="40" w:line="240" w:lineRule="auto"/>
        <w:outlineLvl w:val="2"/>
        <w:rPr>
          <w:rFonts w:asciiTheme="minorHAnsi" w:hAnsiTheme="minorHAnsi"/>
          <w:sz w:val="20"/>
          <w:szCs w:val="20"/>
          <w:lang w:val="en"/>
        </w:rPr>
      </w:pPr>
    </w:p>
    <w:p w:rsidR="00E20BCC" w:rsidRPr="00C537E1" w:rsidRDefault="00E20BCC" w:rsidP="009E333F">
      <w:pPr>
        <w:keepNext/>
        <w:keepLines/>
        <w:spacing w:before="40" w:line="240" w:lineRule="auto"/>
        <w:outlineLvl w:val="2"/>
        <w:rPr>
          <w:rFonts w:asciiTheme="minorHAnsi" w:hAnsiTheme="minorHAnsi"/>
          <w:sz w:val="21"/>
          <w:szCs w:val="21"/>
          <w:lang w:val="en"/>
        </w:rPr>
      </w:pPr>
      <w:r w:rsidRPr="00C537E1">
        <w:rPr>
          <w:rFonts w:asciiTheme="minorHAnsi" w:hAnsiTheme="minorHAnsi"/>
          <w:sz w:val="21"/>
          <w:szCs w:val="21"/>
          <w:lang w:val="en"/>
        </w:rPr>
        <w:t xml:space="preserve">Dear </w:t>
      </w:r>
      <w:r w:rsidRPr="00C537E1">
        <w:rPr>
          <w:rFonts w:asciiTheme="minorHAnsi" w:hAnsiTheme="minorHAnsi"/>
          <w:color w:val="FF0000"/>
          <w:sz w:val="21"/>
          <w:szCs w:val="21"/>
          <w:lang w:val="en"/>
        </w:rPr>
        <w:t>XXXXX</w:t>
      </w:r>
      <w:r w:rsidRPr="00C537E1">
        <w:rPr>
          <w:rFonts w:asciiTheme="minorHAnsi" w:hAnsiTheme="minorHAnsi"/>
          <w:sz w:val="21"/>
          <w:szCs w:val="21"/>
          <w:lang w:val="en"/>
        </w:rPr>
        <w:t xml:space="preserve">; </w:t>
      </w:r>
    </w:p>
    <w:p w:rsidR="00E20BCC" w:rsidRPr="00C537E1" w:rsidRDefault="00E20BCC" w:rsidP="009E333F">
      <w:pPr>
        <w:keepNext/>
        <w:keepLines/>
        <w:spacing w:before="40" w:line="240" w:lineRule="auto"/>
        <w:outlineLvl w:val="2"/>
        <w:rPr>
          <w:rFonts w:asciiTheme="minorHAnsi" w:hAnsiTheme="minorHAnsi"/>
          <w:sz w:val="21"/>
          <w:szCs w:val="21"/>
          <w:lang w:val="en"/>
        </w:rPr>
      </w:pPr>
    </w:p>
    <w:p w:rsidR="009E333F" w:rsidRPr="00C537E1" w:rsidRDefault="009E333F" w:rsidP="009E333F">
      <w:pPr>
        <w:keepNext/>
        <w:keepLines/>
        <w:spacing w:before="40" w:line="240" w:lineRule="auto"/>
        <w:outlineLvl w:val="2"/>
        <w:rPr>
          <w:rFonts w:asciiTheme="minorHAnsi" w:hAnsiTheme="minorHAnsi"/>
          <w:sz w:val="21"/>
          <w:szCs w:val="21"/>
          <w:lang w:val="en"/>
        </w:rPr>
      </w:pPr>
      <w:r w:rsidRPr="00C537E1">
        <w:rPr>
          <w:rFonts w:asciiTheme="minorHAnsi" w:hAnsiTheme="minorHAnsi"/>
          <w:sz w:val="21"/>
          <w:szCs w:val="21"/>
          <w:lang w:val="en"/>
        </w:rPr>
        <w:t xml:space="preserve">On April 1, 2014, the President signed the Protecting Access to Medicare Act (PAMA) into law, which included a provision authorizing a two part </w:t>
      </w:r>
      <w:r w:rsidRPr="00C537E1">
        <w:rPr>
          <w:rFonts w:asciiTheme="minorHAnsi" w:hAnsiTheme="minorHAnsi"/>
          <w:b/>
          <w:sz w:val="21"/>
          <w:szCs w:val="21"/>
          <w:lang w:val="en"/>
        </w:rPr>
        <w:t>Certified Community Behavioral Health Clinic (CCBHC) Demonstration program</w:t>
      </w:r>
      <w:r w:rsidRPr="00C537E1">
        <w:rPr>
          <w:rFonts w:asciiTheme="minorHAnsi" w:hAnsiTheme="minorHAnsi"/>
          <w:sz w:val="21"/>
          <w:szCs w:val="21"/>
          <w:lang w:val="en"/>
        </w:rPr>
        <w:t>. The law allowed for a $1.1 billion investment in community based mental health services for Medicaid recipients – the largest of its kind for several generations - over the course of the demonstration.</w:t>
      </w:r>
      <w:r w:rsidRPr="00C537E1">
        <w:rPr>
          <w:rFonts w:asciiTheme="minorHAnsi" w:hAnsiTheme="minorHAnsi"/>
          <w:sz w:val="21"/>
          <w:szCs w:val="21"/>
        </w:rPr>
        <w:t xml:space="preserve"> </w:t>
      </w:r>
    </w:p>
    <w:p w:rsidR="009E333F" w:rsidRPr="00C537E1" w:rsidRDefault="009E333F" w:rsidP="009E333F">
      <w:pPr>
        <w:keepNext/>
        <w:keepLines/>
        <w:spacing w:before="40" w:line="240" w:lineRule="auto"/>
        <w:outlineLvl w:val="2"/>
        <w:rPr>
          <w:rFonts w:asciiTheme="minorHAnsi" w:eastAsiaTheme="majorEastAsia" w:hAnsiTheme="minorHAnsi" w:cstheme="majorBidi"/>
          <w:color w:val="243F60" w:themeColor="accent1" w:themeShade="7F"/>
          <w:sz w:val="21"/>
          <w:szCs w:val="21"/>
        </w:rPr>
      </w:pPr>
    </w:p>
    <w:p w:rsidR="009E333F" w:rsidRPr="00C537E1" w:rsidRDefault="009E333F" w:rsidP="009E333F">
      <w:pPr>
        <w:spacing w:line="240" w:lineRule="auto"/>
        <w:rPr>
          <w:rFonts w:asciiTheme="minorHAnsi" w:hAnsiTheme="minorHAnsi"/>
          <w:sz w:val="21"/>
          <w:szCs w:val="21"/>
        </w:rPr>
      </w:pPr>
      <w:r w:rsidRPr="00C537E1">
        <w:rPr>
          <w:rFonts w:asciiTheme="minorHAnsi" w:hAnsiTheme="minorHAnsi"/>
          <w:sz w:val="21"/>
          <w:szCs w:val="21"/>
        </w:rPr>
        <w:t xml:space="preserve">In October of 2015, SAMHSA and CMS announced that 24 states have been awarded one-year CCBHC Planning Grants. </w:t>
      </w:r>
      <w:r w:rsidRPr="00C537E1">
        <w:rPr>
          <w:rFonts w:asciiTheme="minorHAnsi" w:hAnsiTheme="minorHAnsi"/>
          <w:b/>
          <w:sz w:val="21"/>
          <w:szCs w:val="21"/>
          <w:u w:val="single"/>
        </w:rPr>
        <w:t>Michigan was one of the states awarded a planning grant.</w:t>
      </w:r>
      <w:r w:rsidRPr="00C537E1">
        <w:rPr>
          <w:rFonts w:asciiTheme="minorHAnsi" w:hAnsiTheme="minorHAnsi"/>
          <w:sz w:val="21"/>
          <w:szCs w:val="21"/>
        </w:rPr>
        <w:t xml:space="preserve">  Recipients will be required to certify community behavioral health clinics, solicit input from stakeholders, establish prospective payment systems for demonstration reimbursable services, and prepare an application to participate in the demonstration program. Eight of these states will then be selected as demonstration sites for enhanced federal matching funds based on payment via a Prospective Payment System (PPS) for Medicaid services during the CCBHC two year Demonstration. </w:t>
      </w:r>
    </w:p>
    <w:p w:rsidR="009E333F" w:rsidRPr="00C537E1" w:rsidRDefault="009E333F" w:rsidP="009E333F">
      <w:pPr>
        <w:spacing w:line="240" w:lineRule="auto"/>
        <w:rPr>
          <w:rFonts w:asciiTheme="minorHAnsi" w:hAnsiTheme="minorHAnsi"/>
          <w:sz w:val="21"/>
          <w:szCs w:val="21"/>
        </w:rPr>
      </w:pPr>
      <w:r w:rsidRPr="00C537E1">
        <w:rPr>
          <w:rFonts w:asciiTheme="minorHAnsi" w:hAnsiTheme="minorHAnsi"/>
          <w:sz w:val="21"/>
          <w:szCs w:val="21"/>
        </w:rPr>
        <w:t xml:space="preserve">   </w:t>
      </w:r>
    </w:p>
    <w:p w:rsidR="009E333F" w:rsidRPr="00C537E1" w:rsidRDefault="009E333F" w:rsidP="009E333F">
      <w:pPr>
        <w:spacing w:line="240" w:lineRule="auto"/>
        <w:rPr>
          <w:rFonts w:asciiTheme="minorHAnsi" w:hAnsiTheme="minorHAnsi"/>
          <w:sz w:val="21"/>
          <w:szCs w:val="21"/>
        </w:rPr>
      </w:pPr>
      <w:r w:rsidRPr="00C537E1">
        <w:rPr>
          <w:rFonts w:asciiTheme="minorHAnsi" w:hAnsiTheme="minorHAnsi"/>
          <w:sz w:val="21"/>
          <w:szCs w:val="21"/>
        </w:rPr>
        <w:t>The ultimate Demonstration application will be submitted to SAMHSA by each State Planning recipient by October of 2016 in order to be considered to participate in the CCBHC demonstration program. CCBHC Implementation will begin in January of 2017.</w:t>
      </w:r>
    </w:p>
    <w:p w:rsidR="009E333F" w:rsidRPr="00C537E1" w:rsidRDefault="009E333F" w:rsidP="009E333F">
      <w:pPr>
        <w:spacing w:line="240" w:lineRule="auto"/>
        <w:rPr>
          <w:rFonts w:asciiTheme="minorHAnsi" w:hAnsiTheme="minorHAnsi"/>
          <w:sz w:val="21"/>
          <w:szCs w:val="21"/>
        </w:rPr>
      </w:pPr>
    </w:p>
    <w:p w:rsidR="009B2EB3" w:rsidRPr="00C537E1" w:rsidRDefault="009B2EB3" w:rsidP="009B2EB3">
      <w:pPr>
        <w:pStyle w:val="ListParagraph"/>
        <w:autoSpaceDE w:val="0"/>
        <w:autoSpaceDN w:val="0"/>
        <w:adjustRightInd w:val="0"/>
        <w:spacing w:line="240" w:lineRule="auto"/>
        <w:ind w:left="0"/>
        <w:rPr>
          <w:rFonts w:asciiTheme="minorHAnsi" w:hAnsiTheme="minorHAnsi"/>
          <w:sz w:val="21"/>
          <w:szCs w:val="21"/>
        </w:rPr>
      </w:pPr>
      <w:r w:rsidRPr="00C537E1">
        <w:rPr>
          <w:rFonts w:asciiTheme="minorHAnsi" w:hAnsiTheme="minorHAnsi"/>
          <w:sz w:val="21"/>
          <w:szCs w:val="21"/>
        </w:rPr>
        <w:t>O</w:t>
      </w:r>
      <w:r w:rsidR="009E333F" w:rsidRPr="00C537E1">
        <w:rPr>
          <w:rFonts w:asciiTheme="minorHAnsi" w:hAnsiTheme="minorHAnsi"/>
          <w:sz w:val="21"/>
          <w:szCs w:val="21"/>
        </w:rPr>
        <w:t>ccupational therapists were listed among the suggested staffing for CCBHCs under section 1.b.2 of the SAMHSA CCBHC criteria</w:t>
      </w:r>
      <w:r w:rsidR="009E333F" w:rsidRPr="00C537E1">
        <w:rPr>
          <w:rStyle w:val="EndnoteReference"/>
          <w:rFonts w:asciiTheme="minorHAnsi" w:hAnsiTheme="minorHAnsi"/>
          <w:sz w:val="21"/>
          <w:szCs w:val="21"/>
        </w:rPr>
        <w:endnoteReference w:id="1"/>
      </w:r>
      <w:r w:rsidR="00E20BCC" w:rsidRPr="00C537E1">
        <w:rPr>
          <w:rFonts w:asciiTheme="minorHAnsi" w:hAnsiTheme="minorHAnsi"/>
          <w:sz w:val="21"/>
          <w:szCs w:val="21"/>
        </w:rPr>
        <w:t>.</w:t>
      </w:r>
      <w:r w:rsidR="009E333F" w:rsidRPr="00C537E1">
        <w:rPr>
          <w:rFonts w:asciiTheme="minorHAnsi" w:hAnsiTheme="minorHAnsi"/>
          <w:sz w:val="21"/>
          <w:szCs w:val="21"/>
        </w:rPr>
        <w:t xml:space="preserve"> </w:t>
      </w:r>
      <w:r w:rsidR="00E20BCC" w:rsidRPr="00C537E1">
        <w:rPr>
          <w:rFonts w:asciiTheme="minorHAnsi" w:hAnsiTheme="minorHAnsi"/>
          <w:sz w:val="21"/>
          <w:szCs w:val="21"/>
        </w:rPr>
        <w:t xml:space="preserve"> </w:t>
      </w:r>
      <w:r w:rsidRPr="00C537E1">
        <w:rPr>
          <w:rFonts w:asciiTheme="minorHAnsi" w:hAnsiTheme="minorHAnsi"/>
          <w:sz w:val="21"/>
          <w:szCs w:val="21"/>
        </w:rPr>
        <w:t>MiOTA strongly recommends that occupational therapy practitioners be a required part of the CCBHC interdisciplinary team. Occupational therapy practitioners have an essential role to play in the full arc of services provision:  evaluation, the development of a plan of care, and the implementation of many of the other services required by Congress.</w:t>
      </w:r>
    </w:p>
    <w:p w:rsidR="009B2EB3" w:rsidRPr="00C537E1" w:rsidRDefault="009B2EB3" w:rsidP="009E333F">
      <w:pPr>
        <w:spacing w:line="240" w:lineRule="auto"/>
        <w:rPr>
          <w:rFonts w:asciiTheme="minorHAnsi" w:hAnsiTheme="minorHAnsi"/>
          <w:sz w:val="21"/>
          <w:szCs w:val="21"/>
        </w:rPr>
      </w:pPr>
    </w:p>
    <w:p w:rsidR="000B612A" w:rsidRPr="000B612A" w:rsidRDefault="000B612A" w:rsidP="000B612A">
      <w:pPr>
        <w:pStyle w:val="Heading2"/>
        <w:spacing w:before="0" w:line="240" w:lineRule="auto"/>
        <w:rPr>
          <w:rFonts w:ascii="Calibri" w:hAnsi="Calibri" w:cs="Tahoma"/>
          <w:color w:val="auto"/>
          <w:sz w:val="21"/>
          <w:szCs w:val="21"/>
        </w:rPr>
      </w:pPr>
      <w:r w:rsidRPr="000B612A">
        <w:rPr>
          <w:rStyle w:val="Strong"/>
          <w:rFonts w:ascii="Calibri" w:hAnsi="Calibri" w:cs="Tahoma"/>
          <w:bCs w:val="0"/>
          <w:color w:val="auto"/>
          <w:sz w:val="21"/>
          <w:szCs w:val="21"/>
        </w:rPr>
        <w:t xml:space="preserve">Occupational Therapy, which has its roots in psychiatry, is an essential addition to the state CCBHC initiative </w:t>
      </w:r>
      <w:r>
        <w:rPr>
          <w:rStyle w:val="Strong"/>
          <w:rFonts w:ascii="Calibri" w:hAnsi="Calibri" w:cs="Tahoma"/>
          <w:bCs w:val="0"/>
          <w:color w:val="auto"/>
          <w:sz w:val="21"/>
          <w:szCs w:val="21"/>
        </w:rPr>
        <w:t>because OT Practioners:</w:t>
      </w:r>
    </w:p>
    <w:p w:rsidR="000B612A" w:rsidRDefault="000B612A" w:rsidP="000B612A">
      <w:pPr>
        <w:pStyle w:val="ListParagraph"/>
        <w:numPr>
          <w:ilvl w:val="0"/>
          <w:numId w:val="6"/>
        </w:numPr>
        <w:spacing w:line="240" w:lineRule="auto"/>
        <w:rPr>
          <w:rFonts w:ascii="Calibri" w:hAnsi="Calibri" w:cs="Tahoma"/>
          <w:color w:val="000000"/>
          <w:sz w:val="21"/>
          <w:szCs w:val="21"/>
        </w:rPr>
      </w:pPr>
      <w:r>
        <w:rPr>
          <w:rFonts w:ascii="Calibri" w:hAnsi="Calibri" w:cs="Tahoma"/>
          <w:color w:val="000000"/>
          <w:sz w:val="21"/>
          <w:szCs w:val="21"/>
        </w:rPr>
        <w:t>Are</w:t>
      </w:r>
      <w:r w:rsidRPr="000B612A">
        <w:rPr>
          <w:rFonts w:ascii="Calibri" w:hAnsi="Calibri" w:cs="Tahoma"/>
          <w:color w:val="000000"/>
          <w:sz w:val="21"/>
          <w:szCs w:val="21"/>
        </w:rPr>
        <w:t xml:space="preserve"> </w:t>
      </w:r>
      <w:r>
        <w:rPr>
          <w:rFonts w:ascii="Calibri" w:hAnsi="Calibri" w:cs="Tahoma"/>
          <w:color w:val="000000"/>
          <w:sz w:val="21"/>
          <w:szCs w:val="21"/>
        </w:rPr>
        <w:t>trained to assess cogn</w:t>
      </w:r>
      <w:r w:rsidRPr="000B612A">
        <w:rPr>
          <w:rFonts w:ascii="Calibri" w:hAnsi="Calibri" w:cs="Tahoma"/>
          <w:color w:val="000000"/>
          <w:sz w:val="21"/>
          <w:szCs w:val="21"/>
        </w:rPr>
        <w:t>itive and functional impairments and risk;</w:t>
      </w:r>
    </w:p>
    <w:p w:rsidR="000B612A" w:rsidRPr="000B612A" w:rsidRDefault="000B612A" w:rsidP="000B612A">
      <w:pPr>
        <w:pStyle w:val="ListParagraph"/>
        <w:numPr>
          <w:ilvl w:val="0"/>
          <w:numId w:val="6"/>
        </w:numPr>
        <w:spacing w:line="240" w:lineRule="auto"/>
        <w:rPr>
          <w:rFonts w:ascii="Calibri" w:hAnsi="Calibri" w:cs="Tahoma"/>
          <w:color w:val="000000"/>
          <w:sz w:val="21"/>
          <w:szCs w:val="21"/>
        </w:rPr>
      </w:pPr>
      <w:r>
        <w:rPr>
          <w:rFonts w:ascii="Calibri" w:hAnsi="Calibri" w:cs="Tahoma"/>
          <w:color w:val="000000"/>
          <w:sz w:val="21"/>
          <w:szCs w:val="21"/>
        </w:rPr>
        <w:t>Help span</w:t>
      </w:r>
      <w:r w:rsidRPr="000B612A">
        <w:rPr>
          <w:rFonts w:ascii="Calibri" w:hAnsi="Calibri" w:cs="Tahoma"/>
          <w:color w:val="000000"/>
          <w:sz w:val="21"/>
          <w:szCs w:val="21"/>
        </w:rPr>
        <w:t xml:space="preserve"> the boundary between the behavioral and medical fields—a key objective of the CCBHC initiative;</w:t>
      </w:r>
    </w:p>
    <w:p w:rsidR="000B612A" w:rsidRPr="000B612A" w:rsidRDefault="000B612A" w:rsidP="000B612A">
      <w:pPr>
        <w:pStyle w:val="ListParagraph"/>
        <w:numPr>
          <w:ilvl w:val="0"/>
          <w:numId w:val="6"/>
        </w:numPr>
        <w:spacing w:line="240" w:lineRule="auto"/>
        <w:rPr>
          <w:rFonts w:ascii="Calibri" w:hAnsi="Calibri" w:cs="Tahoma"/>
          <w:color w:val="000000"/>
          <w:sz w:val="21"/>
          <w:szCs w:val="21"/>
        </w:rPr>
      </w:pPr>
      <w:r>
        <w:rPr>
          <w:rFonts w:ascii="Calibri" w:hAnsi="Calibri" w:cs="Tahoma"/>
          <w:color w:val="000000"/>
          <w:sz w:val="21"/>
          <w:szCs w:val="21"/>
        </w:rPr>
        <w:t>C</w:t>
      </w:r>
      <w:r w:rsidRPr="000B612A">
        <w:rPr>
          <w:rFonts w:ascii="Calibri" w:hAnsi="Calibri" w:cs="Tahoma"/>
          <w:color w:val="000000"/>
          <w:sz w:val="21"/>
          <w:szCs w:val="21"/>
        </w:rPr>
        <w:t>an assess functional cognition, which is the way an individual utilizes and integrates his/her thinking and processing skills to accomplish everyday activities.  The OT practitioner can advise adjustments to the care plan if an individual’s cognitive deficits reduce their capacity to understand their diagnosis, effectively participate in care planning, take medication, attend routine appointments, or successfully engage in interventions (especially the many modalities rooted in cognitive behavioral therapy);</w:t>
      </w:r>
    </w:p>
    <w:p w:rsidR="009B2EB3" w:rsidRPr="000B612A" w:rsidRDefault="000B612A" w:rsidP="000B612A">
      <w:pPr>
        <w:pStyle w:val="ListParagraph"/>
        <w:numPr>
          <w:ilvl w:val="0"/>
          <w:numId w:val="6"/>
        </w:numPr>
        <w:spacing w:line="240" w:lineRule="auto"/>
        <w:rPr>
          <w:rFonts w:ascii="Calibri" w:hAnsi="Calibri" w:cs="Tahoma"/>
          <w:color w:val="000000"/>
          <w:sz w:val="21"/>
          <w:szCs w:val="21"/>
        </w:rPr>
      </w:pPr>
      <w:r>
        <w:rPr>
          <w:rFonts w:ascii="Calibri" w:hAnsi="Calibri" w:cs="Tahoma"/>
          <w:color w:val="000000"/>
          <w:sz w:val="21"/>
          <w:szCs w:val="21"/>
        </w:rPr>
        <w:t>Help</w:t>
      </w:r>
      <w:bookmarkStart w:id="0" w:name="_GoBack"/>
      <w:bookmarkEnd w:id="0"/>
      <w:r>
        <w:rPr>
          <w:rFonts w:ascii="Calibri" w:hAnsi="Calibri" w:cs="Tahoma"/>
          <w:color w:val="000000"/>
          <w:sz w:val="21"/>
          <w:szCs w:val="21"/>
        </w:rPr>
        <w:t xml:space="preserve"> people across the lifespan w</w:t>
      </w:r>
      <w:r w:rsidRPr="000B612A">
        <w:rPr>
          <w:rFonts w:ascii="Calibri" w:hAnsi="Calibri" w:cs="Tahoma"/>
          <w:color w:val="000000"/>
          <w:sz w:val="21"/>
          <w:szCs w:val="21"/>
        </w:rPr>
        <w:t>ith serious mental illness develop day-to-day independent living skills and improve their functional capacity</w:t>
      </w:r>
    </w:p>
    <w:p w:rsidR="000B612A" w:rsidRPr="00C537E1" w:rsidRDefault="000B612A" w:rsidP="000B612A">
      <w:pPr>
        <w:spacing w:line="240" w:lineRule="auto"/>
        <w:rPr>
          <w:rFonts w:asciiTheme="minorHAnsi" w:hAnsiTheme="minorHAnsi" w:cs="Times New Roman"/>
          <w:sz w:val="21"/>
          <w:szCs w:val="21"/>
        </w:rPr>
      </w:pPr>
    </w:p>
    <w:p w:rsidR="009E333F" w:rsidRPr="00C537E1" w:rsidRDefault="00BC6794" w:rsidP="009E333F">
      <w:pPr>
        <w:spacing w:line="240" w:lineRule="auto"/>
        <w:rPr>
          <w:rFonts w:asciiTheme="minorHAnsi" w:hAnsiTheme="minorHAnsi" w:cs="Times New Roman"/>
          <w:sz w:val="21"/>
          <w:szCs w:val="21"/>
        </w:rPr>
      </w:pPr>
      <w:r w:rsidRPr="00C537E1">
        <w:rPr>
          <w:rFonts w:asciiTheme="minorHAnsi" w:hAnsiTheme="minorHAnsi" w:cs="Times New Roman"/>
          <w:sz w:val="21"/>
          <w:szCs w:val="21"/>
        </w:rPr>
        <w:t xml:space="preserve">As your constituent, I urge you to ask DHHS to include occupational therapists as </w:t>
      </w:r>
      <w:r w:rsidRPr="00C537E1">
        <w:rPr>
          <w:rFonts w:asciiTheme="minorHAnsi" w:hAnsiTheme="minorHAnsi" w:cs="Times New Roman"/>
          <w:b/>
          <w:sz w:val="21"/>
          <w:szCs w:val="21"/>
        </w:rPr>
        <w:t>required staff</w:t>
      </w:r>
      <w:r w:rsidRPr="00C537E1">
        <w:rPr>
          <w:rFonts w:asciiTheme="minorHAnsi" w:hAnsiTheme="minorHAnsi" w:cs="Times New Roman"/>
          <w:sz w:val="21"/>
          <w:szCs w:val="21"/>
        </w:rPr>
        <w:t xml:space="preserve"> for the Michigan CCBHCs.  Even better, urge DHHS to have occupational therapists on the planning committee for this grant.  To date, there has been little transparency in the process, and the essential practitioners are not sure where we stand.</w:t>
      </w:r>
    </w:p>
    <w:p w:rsidR="00BC6794" w:rsidRPr="00C537E1" w:rsidRDefault="00BC6794" w:rsidP="009E333F">
      <w:pPr>
        <w:spacing w:line="240" w:lineRule="auto"/>
        <w:rPr>
          <w:rFonts w:asciiTheme="minorHAnsi" w:hAnsiTheme="minorHAnsi" w:cs="Times New Roman"/>
          <w:sz w:val="21"/>
          <w:szCs w:val="21"/>
        </w:rPr>
      </w:pPr>
    </w:p>
    <w:p w:rsidR="003C0A44" w:rsidRPr="00C537E1" w:rsidRDefault="00BC6794" w:rsidP="00BC6794">
      <w:pPr>
        <w:spacing w:line="240" w:lineRule="auto"/>
        <w:rPr>
          <w:rFonts w:asciiTheme="minorHAnsi" w:hAnsiTheme="minorHAnsi" w:cs="Times New Roman"/>
          <w:color w:val="FF0000"/>
          <w:sz w:val="21"/>
          <w:szCs w:val="21"/>
        </w:rPr>
      </w:pPr>
      <w:r w:rsidRPr="00C537E1">
        <w:rPr>
          <w:rFonts w:asciiTheme="minorHAnsi" w:hAnsiTheme="minorHAnsi" w:cs="Times New Roman"/>
          <w:sz w:val="21"/>
          <w:szCs w:val="21"/>
        </w:rPr>
        <w:t xml:space="preserve">For more </w:t>
      </w:r>
      <w:r w:rsidR="00464E07">
        <w:rPr>
          <w:rFonts w:asciiTheme="minorHAnsi" w:hAnsiTheme="minorHAnsi" w:cs="Times New Roman"/>
          <w:sz w:val="21"/>
          <w:szCs w:val="21"/>
        </w:rPr>
        <w:t xml:space="preserve">information please contact the MiOTA Office at </w:t>
      </w:r>
      <w:hyperlink r:id="rId9" w:history="1">
        <w:r w:rsidR="00464E07" w:rsidRPr="00F643FB">
          <w:rPr>
            <w:rStyle w:val="Hyperlink"/>
            <w:rFonts w:asciiTheme="minorHAnsi" w:hAnsiTheme="minorHAnsi" w:cs="Times New Roman"/>
            <w:sz w:val="21"/>
            <w:szCs w:val="21"/>
          </w:rPr>
          <w:t>office@miota.org</w:t>
        </w:r>
      </w:hyperlink>
      <w:r w:rsidR="00464E07">
        <w:rPr>
          <w:rFonts w:asciiTheme="minorHAnsi" w:hAnsiTheme="minorHAnsi" w:cs="Times New Roman"/>
          <w:sz w:val="21"/>
          <w:szCs w:val="21"/>
        </w:rPr>
        <w:t xml:space="preserve"> or 517-267-3918.</w:t>
      </w:r>
    </w:p>
    <w:p w:rsidR="00E20BCC" w:rsidRPr="00C537E1" w:rsidRDefault="00E20BCC" w:rsidP="00BC6794">
      <w:pPr>
        <w:spacing w:line="240" w:lineRule="auto"/>
        <w:rPr>
          <w:rFonts w:asciiTheme="minorHAnsi" w:hAnsiTheme="minorHAnsi" w:cs="Times New Roman"/>
          <w:color w:val="FF0000"/>
          <w:sz w:val="21"/>
          <w:szCs w:val="21"/>
        </w:rPr>
      </w:pPr>
    </w:p>
    <w:p w:rsidR="00E20BCC" w:rsidRPr="00C537E1" w:rsidRDefault="00E20BCC" w:rsidP="00BC6794">
      <w:pPr>
        <w:spacing w:line="240" w:lineRule="auto"/>
        <w:rPr>
          <w:rFonts w:asciiTheme="minorHAnsi" w:hAnsiTheme="minorHAnsi" w:cs="Times New Roman"/>
          <w:sz w:val="21"/>
          <w:szCs w:val="21"/>
        </w:rPr>
      </w:pPr>
      <w:r w:rsidRPr="00C537E1">
        <w:rPr>
          <w:rFonts w:asciiTheme="minorHAnsi" w:hAnsiTheme="minorHAnsi" w:cs="Times New Roman"/>
          <w:sz w:val="21"/>
          <w:szCs w:val="21"/>
        </w:rPr>
        <w:t>Sincerely,</w:t>
      </w:r>
    </w:p>
    <w:p w:rsidR="00E20BCC" w:rsidRPr="00C537E1" w:rsidRDefault="00E20BCC" w:rsidP="00BC6794">
      <w:pPr>
        <w:spacing w:line="240" w:lineRule="auto"/>
        <w:rPr>
          <w:rFonts w:asciiTheme="minorHAnsi" w:hAnsiTheme="minorHAnsi" w:cs="Times New Roman"/>
          <w:color w:val="FF0000"/>
          <w:sz w:val="20"/>
          <w:szCs w:val="20"/>
        </w:rPr>
      </w:pPr>
    </w:p>
    <w:p w:rsidR="00E20BCC" w:rsidRPr="00C537E1" w:rsidRDefault="00E20BCC" w:rsidP="00BC6794">
      <w:pPr>
        <w:spacing w:line="240" w:lineRule="auto"/>
        <w:rPr>
          <w:rFonts w:asciiTheme="minorHAnsi" w:hAnsiTheme="minorHAnsi" w:cs="Times New Roman"/>
          <w:color w:val="FF0000"/>
          <w:sz w:val="20"/>
          <w:szCs w:val="20"/>
        </w:rPr>
      </w:pPr>
    </w:p>
    <w:sectPr w:rsidR="00E20BCC" w:rsidRPr="00C537E1" w:rsidSect="00BC679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6FF" w:rsidRDefault="006216FF" w:rsidP="009E333F">
      <w:pPr>
        <w:spacing w:line="240" w:lineRule="auto"/>
      </w:pPr>
      <w:r>
        <w:separator/>
      </w:r>
    </w:p>
  </w:endnote>
  <w:endnote w:type="continuationSeparator" w:id="0">
    <w:p w:rsidR="006216FF" w:rsidRDefault="006216FF" w:rsidP="009E333F">
      <w:pPr>
        <w:spacing w:line="240" w:lineRule="auto"/>
      </w:pPr>
      <w:r>
        <w:continuationSeparator/>
      </w:r>
    </w:p>
  </w:endnote>
  <w:endnote w:id="1">
    <w:p w:rsidR="009E333F" w:rsidRPr="00C537E1" w:rsidRDefault="009E333F" w:rsidP="009E333F">
      <w:pPr>
        <w:pStyle w:val="EndnoteText"/>
        <w:rPr>
          <w:sz w:val="22"/>
          <w:szCs w:val="22"/>
        </w:rPr>
      </w:pPr>
      <w:r w:rsidRPr="00C537E1">
        <w:rPr>
          <w:rStyle w:val="EndnoteReference"/>
          <w:sz w:val="22"/>
          <w:szCs w:val="22"/>
        </w:rPr>
        <w:endnoteRef/>
      </w:r>
      <w:r w:rsidRPr="00C537E1">
        <w:rPr>
          <w:sz w:val="22"/>
          <w:szCs w:val="22"/>
        </w:rPr>
        <w:t xml:space="preserve"> </w:t>
      </w:r>
      <w:hyperlink r:id="rId1" w:history="1">
        <w:r w:rsidRPr="00C537E1">
          <w:rPr>
            <w:rStyle w:val="Hyperlink"/>
            <w:rFonts w:ascii="Times New Roman" w:hAnsi="Times New Roman"/>
            <w:sz w:val="22"/>
            <w:szCs w:val="22"/>
          </w:rPr>
          <w:t>http://www.samhsa.gov/sites/default/files/programs_campaigns/ccbhc-criteria.pdf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6FF" w:rsidRDefault="006216FF" w:rsidP="009E333F">
      <w:pPr>
        <w:spacing w:line="240" w:lineRule="auto"/>
      </w:pPr>
      <w:r>
        <w:separator/>
      </w:r>
    </w:p>
  </w:footnote>
  <w:footnote w:type="continuationSeparator" w:id="0">
    <w:p w:rsidR="006216FF" w:rsidRDefault="006216FF" w:rsidP="009E33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A4EEC"/>
    <w:multiLevelType w:val="hybridMultilevel"/>
    <w:tmpl w:val="4F0AA432"/>
    <w:lvl w:ilvl="0" w:tplc="AB0A1402">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6C612C"/>
    <w:multiLevelType w:val="hybridMultilevel"/>
    <w:tmpl w:val="2570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93315"/>
    <w:multiLevelType w:val="hybridMultilevel"/>
    <w:tmpl w:val="1002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947107"/>
    <w:multiLevelType w:val="hybridMultilevel"/>
    <w:tmpl w:val="F7E0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374C9"/>
    <w:multiLevelType w:val="hybridMultilevel"/>
    <w:tmpl w:val="5C26ADAC"/>
    <w:lvl w:ilvl="0" w:tplc="37F41EDC">
      <w:start w:val="1"/>
      <w:numFmt w:val="bullet"/>
      <w:lvlText w:val="o"/>
      <w:lvlJc w:val="left"/>
      <w:pPr>
        <w:ind w:left="720" w:hanging="360"/>
      </w:pPr>
      <w:rPr>
        <w:rFonts w:ascii="Courier New" w:hAnsi="Courier New" w:cs="Courier New"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43790D"/>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3F"/>
    <w:rsid w:val="000B612A"/>
    <w:rsid w:val="000D07E3"/>
    <w:rsid w:val="003C0A44"/>
    <w:rsid w:val="00464E07"/>
    <w:rsid w:val="006216FF"/>
    <w:rsid w:val="009B2EB3"/>
    <w:rsid w:val="009E333F"/>
    <w:rsid w:val="00BC6794"/>
    <w:rsid w:val="00C537E1"/>
    <w:rsid w:val="00E20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B3C9"/>
  <w15:docId w15:val="{75EDCFCA-631A-43FE-9442-3D2270B9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E333F"/>
    <w:pPr>
      <w:spacing w:after="0" w:line="480" w:lineRule="auto"/>
    </w:pPr>
    <w:rPr>
      <w:rFonts w:ascii="Times New Roman" w:hAnsi="Times New Roman"/>
      <w:sz w:val="24"/>
    </w:rPr>
  </w:style>
  <w:style w:type="paragraph" w:styleId="Heading2">
    <w:name w:val="heading 2"/>
    <w:basedOn w:val="Normal"/>
    <w:next w:val="Normal"/>
    <w:link w:val="Heading2Char"/>
    <w:uiPriority w:val="9"/>
    <w:unhideWhenUsed/>
    <w:qFormat/>
    <w:rsid w:val="009E333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333F"/>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9E333F"/>
    <w:pPr>
      <w:ind w:left="720"/>
      <w:contextualSpacing/>
    </w:pPr>
  </w:style>
  <w:style w:type="character" w:styleId="Hyperlink">
    <w:name w:val="Hyperlink"/>
    <w:rsid w:val="009E333F"/>
    <w:rPr>
      <w:color w:val="0000FF"/>
      <w:u w:val="single"/>
    </w:rPr>
  </w:style>
  <w:style w:type="paragraph" w:styleId="EndnoteText">
    <w:name w:val="endnote text"/>
    <w:basedOn w:val="Normal"/>
    <w:link w:val="EndnoteTextChar"/>
    <w:uiPriority w:val="99"/>
    <w:unhideWhenUsed/>
    <w:rsid w:val="009E333F"/>
    <w:pPr>
      <w:spacing w:line="240" w:lineRule="auto"/>
    </w:pPr>
    <w:rPr>
      <w:rFonts w:ascii="Arial" w:eastAsia="Calibri" w:hAnsi="Arial" w:cs="Times New Roman"/>
      <w:sz w:val="20"/>
      <w:szCs w:val="20"/>
    </w:rPr>
  </w:style>
  <w:style w:type="character" w:customStyle="1" w:styleId="EndnoteTextChar">
    <w:name w:val="Endnote Text Char"/>
    <w:basedOn w:val="DefaultParagraphFont"/>
    <w:link w:val="EndnoteText"/>
    <w:uiPriority w:val="99"/>
    <w:rsid w:val="009E333F"/>
    <w:rPr>
      <w:rFonts w:ascii="Arial" w:eastAsia="Calibri" w:hAnsi="Arial" w:cs="Times New Roman"/>
      <w:sz w:val="20"/>
      <w:szCs w:val="20"/>
    </w:rPr>
  </w:style>
  <w:style w:type="character" w:styleId="EndnoteReference">
    <w:name w:val="endnote reference"/>
    <w:uiPriority w:val="99"/>
    <w:unhideWhenUsed/>
    <w:rsid w:val="009E333F"/>
    <w:rPr>
      <w:vertAlign w:val="superscript"/>
    </w:rPr>
  </w:style>
  <w:style w:type="character" w:styleId="Strong">
    <w:name w:val="Strong"/>
    <w:basedOn w:val="DefaultParagraphFont"/>
    <w:uiPriority w:val="22"/>
    <w:qFormat/>
    <w:rsid w:val="009B2EB3"/>
    <w:rPr>
      <w:b/>
      <w:bCs/>
    </w:rPr>
  </w:style>
  <w:style w:type="paragraph" w:styleId="NoSpacing">
    <w:name w:val="No Spacing"/>
    <w:uiPriority w:val="1"/>
    <w:qFormat/>
    <w:rsid w:val="000D07E3"/>
    <w:pPr>
      <w:spacing w:after="0" w:line="240" w:lineRule="auto"/>
    </w:pPr>
    <w:rPr>
      <w:rFonts w:ascii="Times New Roman" w:hAnsi="Times New Roman"/>
      <w:sz w:val="24"/>
    </w:rPr>
  </w:style>
  <w:style w:type="table" w:styleId="TableGrid">
    <w:name w:val="Table Grid"/>
    <w:basedOn w:val="TableNormal"/>
    <w:uiPriority w:val="59"/>
    <w:rsid w:val="00C53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537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38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iot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miota.org"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samhsa.gov/sites/default/files/programs_campaigns/ccbhc-criter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AOTA</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Vogeley</dc:creator>
  <cp:lastModifiedBy>Matthews Family</cp:lastModifiedBy>
  <cp:revision>2</cp:revision>
  <dcterms:created xsi:type="dcterms:W3CDTF">2016-05-03T15:52:00Z</dcterms:created>
  <dcterms:modified xsi:type="dcterms:W3CDTF">2016-05-03T15:52:00Z</dcterms:modified>
</cp:coreProperties>
</file>